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69C29" w14:textId="123C969F" w:rsidR="00E8712E" w:rsidRPr="00EE3EE8" w:rsidRDefault="00E8712E" w:rsidP="00E8712E">
      <w:pPr>
        <w:pStyle w:val="a3"/>
        <w:keepLines/>
        <w:tabs>
          <w:tab w:val="right" w:pos="10440"/>
          <w:tab w:val="right" w:pos="13323"/>
        </w:tabs>
        <w:rPr>
          <w:noProof w:val="0"/>
          <w:sz w:val="24"/>
        </w:rPr>
      </w:pPr>
      <w:bookmarkStart w:id="0" w:name="Title"/>
      <w:bookmarkStart w:id="1" w:name="DocumentFor"/>
      <w:bookmarkStart w:id="2" w:name="OLE_LINK12"/>
      <w:bookmarkStart w:id="3" w:name="_Toc5938268"/>
      <w:bookmarkStart w:id="4" w:name="_Toc9865820"/>
      <w:bookmarkEnd w:id="0"/>
      <w:bookmarkEnd w:id="1"/>
      <w:r w:rsidRPr="00EE3EE8">
        <w:rPr>
          <w:noProof w:val="0"/>
          <w:sz w:val="24"/>
        </w:rPr>
        <w:t>3GPP TSG-RAN WG4 Meeting # 94-e-Bis</w:t>
      </w:r>
      <w:r w:rsidRPr="00EE3EE8" w:rsidDel="00277FAB">
        <w:rPr>
          <w:noProof w:val="0"/>
          <w:sz w:val="24"/>
        </w:rPr>
        <w:t xml:space="preserve"> </w:t>
      </w:r>
      <w:r w:rsidR="00E67C32">
        <w:rPr>
          <w:noProof w:val="0"/>
          <w:sz w:val="24"/>
        </w:rPr>
        <w:tab/>
      </w:r>
      <w:r w:rsidR="00E67C32" w:rsidRPr="00E67C32">
        <w:rPr>
          <w:noProof w:val="0"/>
          <w:sz w:val="24"/>
        </w:rPr>
        <w:t>R4-2004481</w:t>
      </w:r>
    </w:p>
    <w:p w14:paraId="16D196E1" w14:textId="77777777" w:rsidR="00E8712E" w:rsidRPr="00EE3EE8" w:rsidRDefault="00E8712E" w:rsidP="00E8712E">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14:paraId="1B109EA5" w14:textId="77777777" w:rsidR="00A5625D" w:rsidRPr="005A5820" w:rsidRDefault="00A5625D" w:rsidP="00A5625D">
      <w:pPr>
        <w:pStyle w:val="af8"/>
        <w:rPr>
          <w:rFonts w:eastAsia="宋体"/>
          <w:sz w:val="24"/>
          <w:lang w:eastAsia="zh-CN"/>
        </w:rPr>
      </w:pPr>
    </w:p>
    <w:p w14:paraId="0AAA533D" w14:textId="77777777"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3C58C587"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12E" w:rsidRPr="00E8712E">
        <w:rPr>
          <w:rFonts w:ascii="Arial" w:hAnsi="Arial" w:cs="Arial"/>
          <w:sz w:val="22"/>
        </w:rPr>
        <w:t>UE IMT technology related parameters for 10.0-10.5GHz</w:t>
      </w:r>
    </w:p>
    <w:p w14:paraId="3ACA12DB" w14:textId="227EC5E5"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8712E">
        <w:rPr>
          <w:rFonts w:ascii="Arial" w:hAnsi="Arial" w:cs="Arial"/>
          <w:sz w:val="22"/>
        </w:rPr>
        <w:t>11.1.1</w:t>
      </w:r>
      <w:bookmarkStart w:id="5" w:name="_GoBack"/>
      <w:bookmarkEnd w:id="5"/>
    </w:p>
    <w:p w14:paraId="754225A9" w14:textId="387C3A58"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32D4">
        <w:rPr>
          <w:rFonts w:ascii="Arial" w:eastAsia="宋体" w:hAnsi="Arial" w:cs="Arial"/>
          <w:sz w:val="22"/>
          <w:lang w:eastAsia="zh-CN"/>
        </w:rPr>
        <w:t>Discussion</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bookmarkEnd w:id="3"/>
    <w:bookmarkEnd w:id="4"/>
    <w:p w14:paraId="3A9FBA29" w14:textId="135E48A7" w:rsidR="00486547" w:rsidRDefault="003C32D4" w:rsidP="00931F09">
      <w:pPr>
        <w:rPr>
          <w:rFonts w:eastAsia="宋体"/>
          <w:lang w:val="en-US" w:eastAsia="zh-CN"/>
        </w:rPr>
      </w:pPr>
      <w:r>
        <w:rPr>
          <w:rFonts w:eastAsia="宋体"/>
          <w:lang w:val="en-US" w:eastAsia="zh-CN"/>
        </w:rPr>
        <w:t xml:space="preserve">In the last plenary (RAN#87e) the </w:t>
      </w:r>
      <w:r w:rsidRPr="003C32D4">
        <w:rPr>
          <w:rFonts w:eastAsia="宋体"/>
          <w:lang w:val="en-US" w:eastAsia="zh-CN"/>
        </w:rPr>
        <w:t>Study on IMT parameters for 6.425-7.025GHz, 7.025-7.125GHz and 10.0-10.5GHz</w:t>
      </w:r>
      <w:r>
        <w:rPr>
          <w:rFonts w:eastAsia="宋体"/>
          <w:lang w:val="en-US" w:eastAsia="zh-CN"/>
        </w:rPr>
        <w:t xml:space="preserve"> was approved [1].</w:t>
      </w:r>
    </w:p>
    <w:p w14:paraId="0CBEEB87" w14:textId="255B65DC" w:rsidR="003C32D4" w:rsidRDefault="003C32D4" w:rsidP="007E42EB">
      <w:pPr>
        <w:rPr>
          <w:rFonts w:eastAsia="宋体"/>
          <w:lang w:val="en-US" w:eastAsia="zh-CN"/>
        </w:rPr>
      </w:pPr>
      <w:r>
        <w:rPr>
          <w:rFonts w:eastAsia="宋体"/>
          <w:lang w:val="en-US" w:eastAsia="zh-CN"/>
        </w:rPr>
        <w:t xml:space="preserve">The ranges </w:t>
      </w:r>
      <w:bookmarkStart w:id="6" w:name="OLE_LINK4"/>
      <w:r w:rsidRPr="003C32D4">
        <w:rPr>
          <w:rFonts w:eastAsia="宋体"/>
          <w:lang w:val="en-US" w:eastAsia="zh-CN"/>
        </w:rPr>
        <w:t>6.425-7.025GHz, 7.025-7.125GHz</w:t>
      </w:r>
      <w:bookmarkEnd w:id="6"/>
      <w:r>
        <w:rPr>
          <w:rFonts w:eastAsia="宋体"/>
          <w:lang w:val="en-US" w:eastAsia="zh-CN"/>
        </w:rPr>
        <w:t xml:space="preserve"> have already been agreed to be ins</w:t>
      </w:r>
      <w:r w:rsidR="006A1E7A">
        <w:rPr>
          <w:rFonts w:eastAsia="宋体"/>
          <w:lang w:val="en-US" w:eastAsia="zh-CN"/>
        </w:rPr>
        <w:t xml:space="preserve">ide the FR1 definition, </w:t>
      </w:r>
      <w:r w:rsidR="007E42EB">
        <w:rPr>
          <w:rFonts w:eastAsia="宋体"/>
          <w:lang w:val="en-US" w:eastAsia="zh-CN"/>
        </w:rPr>
        <w:t xml:space="preserve">however the range 10-10.5GHz has not yet been allocated a frequency range. </w:t>
      </w:r>
    </w:p>
    <w:p w14:paraId="3E5F69F6" w14:textId="1701F411" w:rsidR="007E42EB" w:rsidRDefault="007E42EB" w:rsidP="007E42EB">
      <w:pPr>
        <w:rPr>
          <w:rFonts w:eastAsia="宋体"/>
          <w:lang w:val="en-US" w:eastAsia="zh-CN"/>
        </w:rPr>
      </w:pPr>
      <w:r>
        <w:rPr>
          <w:rFonts w:eastAsia="宋体"/>
          <w:lang w:val="en-US" w:eastAsia="zh-CN"/>
        </w:rPr>
        <w:t xml:space="preserve">The frequency range makes a difference to how some of the parameters are specified, however and on some assumptions of the deployment (swept broadcast beams for example are used in FR2). However a number of </w:t>
      </w:r>
      <w:r w:rsidR="00E53C75">
        <w:rPr>
          <w:rFonts w:eastAsia="宋体"/>
          <w:lang w:val="en-US" w:eastAsia="zh-CN"/>
        </w:rPr>
        <w:t>parameters</w:t>
      </w:r>
      <w:r>
        <w:rPr>
          <w:rFonts w:eastAsia="宋体"/>
          <w:lang w:val="en-US" w:eastAsia="zh-CN"/>
        </w:rPr>
        <w:t xml:space="preserve"> requested by the IMT can be discussed without fixing the FR assumptions at this stage.</w:t>
      </w:r>
    </w:p>
    <w:p w14:paraId="7B117B1D" w14:textId="2559A82A" w:rsidR="000A7DD0" w:rsidRDefault="000A7DD0" w:rsidP="000A7DD0">
      <w:pPr>
        <w:pStyle w:val="1"/>
        <w:numPr>
          <w:ilvl w:val="0"/>
          <w:numId w:val="21"/>
        </w:numPr>
        <w:rPr>
          <w:rFonts w:eastAsia="宋体"/>
        </w:rPr>
      </w:pPr>
      <w:r>
        <w:rPr>
          <w:rFonts w:eastAsia="宋体"/>
        </w:rPr>
        <w:t>Discussion</w:t>
      </w:r>
    </w:p>
    <w:p w14:paraId="63C4166E" w14:textId="77777777" w:rsidR="00831C85" w:rsidRDefault="00BC5E39" w:rsidP="00BC5E39">
      <w:pPr>
        <w:rPr>
          <w:rFonts w:eastAsia="宋体"/>
          <w:lang w:val="en-US" w:eastAsia="zh-CN"/>
        </w:rPr>
      </w:pPr>
      <w:r w:rsidRPr="00BC5E39">
        <w:rPr>
          <w:rFonts w:eastAsia="宋体"/>
          <w:lang w:val="en-US" w:eastAsia="zh-CN"/>
        </w:rPr>
        <w:t>The following parameters are listed in the WP5D LS</w:t>
      </w:r>
      <w:r w:rsidR="00831C85">
        <w:rPr>
          <w:rFonts w:eastAsia="宋体"/>
          <w:lang w:val="en-US" w:eastAsia="zh-CN"/>
        </w:rPr>
        <w:t>,</w:t>
      </w:r>
    </w:p>
    <w:p w14:paraId="0AC66E11" w14:textId="749D5F56" w:rsidR="00BC5E39" w:rsidRDefault="00BC5E39"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Duplex Method</w:t>
      </w:r>
    </w:p>
    <w:p w14:paraId="208D4838" w14:textId="7C8D7B7C"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Channel bandwidth (MHz)</w:t>
      </w:r>
    </w:p>
    <w:p w14:paraId="5AC72D78" w14:textId="50CAEA03" w:rsidR="00831C85" w:rsidRDefault="00831C85" w:rsidP="00831C85">
      <w:pPr>
        <w:pStyle w:val="af4"/>
        <w:numPr>
          <w:ilvl w:val="0"/>
          <w:numId w:val="44"/>
        </w:numPr>
        <w:rPr>
          <w:rFonts w:ascii="Times New Roman" w:eastAsia="宋体" w:hAnsi="Times New Roman" w:cs="Times New Roman"/>
          <w:sz w:val="20"/>
          <w:szCs w:val="20"/>
        </w:rPr>
      </w:pPr>
      <w:bookmarkStart w:id="7" w:name="OLE_LINK3"/>
      <w:r w:rsidRPr="00831C85">
        <w:rPr>
          <w:rFonts w:ascii="Times New Roman" w:eastAsia="宋体" w:hAnsi="Times New Roman" w:cs="Times New Roman"/>
          <w:sz w:val="20"/>
          <w:szCs w:val="20"/>
        </w:rPr>
        <w:t>Signal bandwidth (MHz)</w:t>
      </w:r>
    </w:p>
    <w:p w14:paraId="138066D6" w14:textId="6354AB4A" w:rsidR="00831C85" w:rsidRDefault="00831C85" w:rsidP="00831C85">
      <w:pPr>
        <w:pStyle w:val="af4"/>
        <w:numPr>
          <w:ilvl w:val="0"/>
          <w:numId w:val="44"/>
        </w:numPr>
        <w:rPr>
          <w:rFonts w:ascii="Times New Roman" w:eastAsia="宋体" w:hAnsi="Times New Roman" w:cs="Times New Roman"/>
          <w:sz w:val="20"/>
          <w:szCs w:val="20"/>
        </w:rPr>
      </w:pPr>
      <w:bookmarkStart w:id="8" w:name="OLE_LINK5"/>
      <w:bookmarkEnd w:id="7"/>
      <w:r w:rsidRPr="00831C85">
        <w:rPr>
          <w:rFonts w:ascii="Times New Roman" w:eastAsia="宋体" w:hAnsi="Times New Roman" w:cs="Times New Roman"/>
          <w:sz w:val="20"/>
          <w:szCs w:val="20"/>
        </w:rPr>
        <w:t>Transmitter characteristics</w:t>
      </w:r>
    </w:p>
    <w:bookmarkEnd w:id="8"/>
    <w:p w14:paraId="423C0F3C" w14:textId="6E615AA8" w:rsidR="00831C85" w:rsidRDefault="00831C85" w:rsidP="00831C85">
      <w:pPr>
        <w:pStyle w:val="af4"/>
        <w:numPr>
          <w:ilvl w:val="0"/>
          <w:numId w:val="44"/>
        </w:numPr>
        <w:rPr>
          <w:rFonts w:ascii="Times New Roman" w:eastAsia="宋体" w:hAnsi="Times New Roman" w:cs="Times New Roman"/>
          <w:sz w:val="20"/>
          <w:szCs w:val="20"/>
        </w:rPr>
      </w:pPr>
      <w:r w:rsidRPr="00831C85">
        <w:rPr>
          <w:rFonts w:ascii="Times New Roman" w:eastAsia="宋体" w:hAnsi="Times New Roman" w:cs="Times New Roman"/>
          <w:sz w:val="20"/>
          <w:szCs w:val="20"/>
        </w:rPr>
        <w:t>Receiver characteristics</w:t>
      </w:r>
    </w:p>
    <w:p w14:paraId="604AD410" w14:textId="77777777" w:rsidR="00831C85" w:rsidRDefault="00831C85" w:rsidP="00831C85"/>
    <w:p w14:paraId="605BD289" w14:textId="77777777" w:rsidR="00831C85" w:rsidRDefault="00831C85" w:rsidP="00831C85">
      <w:pPr>
        <w:rPr>
          <w:b/>
          <w:u w:val="single"/>
        </w:rPr>
      </w:pPr>
      <w:r w:rsidRPr="00831C85">
        <w:rPr>
          <w:b/>
          <w:u w:val="single"/>
        </w:rPr>
        <w:t>Duplex Method</w:t>
      </w:r>
    </w:p>
    <w:p w14:paraId="24E2508E" w14:textId="1939149E" w:rsidR="001F7A32" w:rsidRPr="00831C85" w:rsidRDefault="001F7A32" w:rsidP="00831C85">
      <w:pPr>
        <w:rPr>
          <w:b/>
          <w:u w:val="single"/>
        </w:rPr>
      </w:pPr>
      <w:r>
        <w:rPr>
          <w:rFonts w:cs="v5.0.0"/>
        </w:rPr>
        <w:t>It is a system parameter and should be the same for BS and UE.</w:t>
      </w:r>
    </w:p>
    <w:p w14:paraId="2F3C3ABE" w14:textId="3DD8B5FF" w:rsidR="00831C85" w:rsidRDefault="00831C85" w:rsidP="00831C85">
      <w:pPr>
        <w:rPr>
          <w:rFonts w:cs="v5.0.0"/>
        </w:rPr>
      </w:pPr>
      <w:r>
        <w:rPr>
          <w:rFonts w:eastAsia="宋体"/>
          <w:lang w:val="en-US" w:eastAsia="zh-CN"/>
        </w:rPr>
        <w:t>The range</w:t>
      </w:r>
      <w:r w:rsidRPr="003C32D4">
        <w:rPr>
          <w:rFonts w:eastAsia="宋体"/>
          <w:lang w:val="en-US" w:eastAsia="zh-CN"/>
        </w:rPr>
        <w:t xml:space="preserve"> </w:t>
      </w:r>
      <w:r w:rsidR="007E42EB">
        <w:rPr>
          <w:rFonts w:eastAsia="宋体"/>
          <w:lang w:val="en-US" w:eastAsia="zh-CN"/>
        </w:rPr>
        <w:t>10-10.5</w:t>
      </w:r>
      <w:r w:rsidRPr="003C32D4">
        <w:rPr>
          <w:rFonts w:eastAsia="宋体"/>
          <w:lang w:val="en-US" w:eastAsia="zh-CN"/>
        </w:rPr>
        <w:t>GHz</w:t>
      </w:r>
      <w:r>
        <w:rPr>
          <w:rFonts w:eastAsia="宋体"/>
          <w:lang w:eastAsia="zh-CN"/>
        </w:rPr>
        <w:t xml:space="preserve"> are </w:t>
      </w:r>
      <w:r>
        <w:rPr>
          <w:rFonts w:eastAsia="宋体" w:cs="v5.0.0"/>
          <w:lang w:eastAsia="zh-CN"/>
        </w:rPr>
        <w:t xml:space="preserve">unpaired </w:t>
      </w:r>
      <w:r>
        <w:rPr>
          <w:rFonts w:cs="v5.0.0"/>
        </w:rPr>
        <w:t>spectrum, hence the duplex mode should be TDD.</w:t>
      </w:r>
      <w:r w:rsidR="001F7A32">
        <w:rPr>
          <w:rFonts w:cs="v5.0.0"/>
        </w:rPr>
        <w:t xml:space="preserve"> </w:t>
      </w:r>
    </w:p>
    <w:p w14:paraId="6BEA88E8" w14:textId="77777777" w:rsidR="0066772D" w:rsidRDefault="00831C85" w:rsidP="0066772D">
      <w:pPr>
        <w:rPr>
          <w:b/>
          <w:u w:val="single"/>
        </w:rPr>
      </w:pPr>
      <w:r w:rsidRPr="00831C85">
        <w:rPr>
          <w:b/>
          <w:u w:val="single"/>
        </w:rPr>
        <w:t>Channel bandwidth</w:t>
      </w:r>
      <w:r w:rsidR="0066772D">
        <w:rPr>
          <w:b/>
          <w:u w:val="single"/>
        </w:rPr>
        <w:t xml:space="preserve">, </w:t>
      </w:r>
      <w:r w:rsidR="0066772D" w:rsidRPr="0066772D">
        <w:rPr>
          <w:b/>
          <w:u w:val="single"/>
        </w:rPr>
        <w:t>Signal bandwidth (MHz)</w:t>
      </w:r>
    </w:p>
    <w:p w14:paraId="3DCAC97F" w14:textId="27A0E4CE" w:rsidR="001F7A32" w:rsidRPr="0066772D" w:rsidRDefault="001F7A32" w:rsidP="0066772D">
      <w:pPr>
        <w:rPr>
          <w:b/>
          <w:u w:val="single"/>
        </w:rPr>
      </w:pPr>
      <w:r>
        <w:rPr>
          <w:rFonts w:cs="v5.0.0"/>
        </w:rPr>
        <w:t>It is a system parameter and should be the same for BS and UE.</w:t>
      </w:r>
    </w:p>
    <w:p w14:paraId="65AABA51" w14:textId="0101EC48" w:rsidR="00831C85" w:rsidRDefault="00AF05EE" w:rsidP="00AF05EE">
      <w:pPr>
        <w:rPr>
          <w:rFonts w:eastAsia="宋体"/>
          <w:lang w:val="en-US" w:eastAsia="zh-CN"/>
        </w:rPr>
      </w:pPr>
      <w:r>
        <w:rPr>
          <w:lang w:eastAsia="zh-CN"/>
        </w:rPr>
        <w:t xml:space="preserve">The supported channel bandwidths are defined per operating band. For the band operation in the range </w:t>
      </w:r>
      <w:r w:rsidR="007E42EB">
        <w:rPr>
          <w:rFonts w:eastAsia="宋体"/>
          <w:lang w:val="en-US" w:eastAsia="zh-CN"/>
        </w:rPr>
        <w:t>10</w:t>
      </w:r>
      <w:r w:rsidRPr="003C32D4">
        <w:rPr>
          <w:rFonts w:eastAsia="宋体"/>
          <w:lang w:val="en-US" w:eastAsia="zh-CN"/>
        </w:rPr>
        <w:t>-</w:t>
      </w:r>
      <w:r w:rsidR="007E42EB">
        <w:rPr>
          <w:rFonts w:eastAsia="宋体"/>
          <w:lang w:val="en-US" w:eastAsia="zh-CN"/>
        </w:rPr>
        <w:t>10.5</w:t>
      </w:r>
      <w:r w:rsidRPr="003C32D4">
        <w:rPr>
          <w:rFonts w:eastAsia="宋体"/>
          <w:lang w:val="en-US" w:eastAsia="zh-CN"/>
        </w:rPr>
        <w:t>GHz</w:t>
      </w:r>
      <w:r w:rsidR="007E42EB">
        <w:rPr>
          <w:rFonts w:eastAsia="宋体"/>
          <w:lang w:val="en-US" w:eastAsia="zh-CN"/>
        </w:rPr>
        <w:t>, the total band range is 500 MHz, this is larger than most FR1 bands but on par with the high frequency TDD band (n77, n78,n79), and is smaller than most FR2 bands.</w:t>
      </w:r>
      <w:r w:rsidR="004F4D76">
        <w:rPr>
          <w:rFonts w:eastAsia="宋体"/>
          <w:lang w:val="en-US" w:eastAsia="zh-CN"/>
        </w:rPr>
        <w:t xml:space="preserve"> We think existing 100 MHz max channel bandwidth can be reused for the band. Carrier aggregation will be defined for the operator hold </w:t>
      </w:r>
      <w:r w:rsidR="00727F86">
        <w:rPr>
          <w:rFonts w:eastAsia="宋体"/>
          <w:lang w:val="en-US" w:eastAsia="zh-CN"/>
        </w:rPr>
        <w:t xml:space="preserve">wide spectrum, e.g. </w:t>
      </w:r>
      <w:r w:rsidR="004F4D76">
        <w:rPr>
          <w:rFonts w:eastAsia="宋体"/>
          <w:lang w:val="en-US" w:eastAsia="zh-CN"/>
        </w:rPr>
        <w:t>200~400 MHz bandwidth</w:t>
      </w:r>
      <w:r w:rsidR="00727F86">
        <w:rPr>
          <w:rFonts w:eastAsia="宋体"/>
          <w:lang w:val="en-US" w:eastAsia="zh-CN"/>
        </w:rPr>
        <w:t>. The transmission bandwidth configuration defined in BS/UE core spec can be used to derive the signal bandwidth.</w:t>
      </w:r>
    </w:p>
    <w:p w14:paraId="39D6B484" w14:textId="77777777" w:rsidR="00727F86" w:rsidRPr="00727F86" w:rsidRDefault="00727F86" w:rsidP="00727F86">
      <w:pPr>
        <w:rPr>
          <w:b/>
          <w:u w:val="single"/>
        </w:rPr>
      </w:pPr>
      <w:r w:rsidRPr="00727F86">
        <w:rPr>
          <w:b/>
          <w:u w:val="single"/>
        </w:rPr>
        <w:t>Transmitter characteristics</w:t>
      </w:r>
    </w:p>
    <w:p w14:paraId="09074560" w14:textId="77777777" w:rsidR="00C11490" w:rsidRDefault="005A1FA8" w:rsidP="00AF05EE">
      <w:pPr>
        <w:rPr>
          <w:rFonts w:asciiTheme="majorBidi" w:eastAsia="宋体" w:hAnsiTheme="majorBidi" w:cstheme="majorBidi"/>
          <w:lang w:val="en-US"/>
        </w:rPr>
      </w:pPr>
      <w:r w:rsidRPr="00F23EE7">
        <w:rPr>
          <w:rFonts w:asciiTheme="majorBidi" w:eastAsia="宋体" w:hAnsiTheme="majorBidi" w:cstheme="majorBidi"/>
          <w:b/>
          <w:lang w:val="en-US"/>
        </w:rPr>
        <w:t>Power dynamic range (dB)</w:t>
      </w:r>
      <w:r>
        <w:rPr>
          <w:rFonts w:asciiTheme="majorBidi" w:eastAsia="宋体" w:hAnsiTheme="majorBidi" w:cstheme="majorBidi"/>
          <w:lang w:val="en-US"/>
        </w:rPr>
        <w:t xml:space="preserve">: </w:t>
      </w:r>
    </w:p>
    <w:p w14:paraId="32626BD8" w14:textId="6501FD0D" w:rsidR="00727F86" w:rsidRDefault="00C11490" w:rsidP="00AF05EE">
      <w:pPr>
        <w:rPr>
          <w:rFonts w:asciiTheme="majorBidi" w:eastAsia="宋体" w:hAnsiTheme="majorBidi" w:cstheme="majorBidi"/>
          <w:lang w:val="en-US"/>
        </w:rPr>
      </w:pPr>
      <w:r>
        <w:rPr>
          <w:rFonts w:asciiTheme="majorBidi" w:eastAsia="宋体" w:hAnsiTheme="majorBidi" w:cstheme="majorBidi"/>
          <w:lang w:val="en-US"/>
        </w:rPr>
        <w:t>For the UE there is a significant difference on the Tx minimum power between FR1 and FR2. FR1 is approx. -33dBm and</w:t>
      </w:r>
      <w:r w:rsidR="001000DC">
        <w:rPr>
          <w:rFonts w:asciiTheme="majorBidi" w:eastAsia="宋体" w:hAnsiTheme="majorBidi" w:cstheme="majorBidi"/>
          <w:lang w:val="en-US"/>
        </w:rPr>
        <w:t xml:space="preserve"> FR2 approx. -13dBm (Power class 2,3,4). The increased PL due to frequency relaxes the minimum power requirement minimum power at 10-10.5GHz further study is needed to find the correct minimum power requirement (it will be between -13 and -33dBm for 100MHz CBW)</w:t>
      </w:r>
    </w:p>
    <w:p w14:paraId="7D1EB0EF" w14:textId="2DD710A5" w:rsidR="005A1FA8" w:rsidRPr="00F23EE7" w:rsidRDefault="005A1FA8" w:rsidP="00AF05EE">
      <w:pPr>
        <w:rPr>
          <w:rFonts w:asciiTheme="majorBidi" w:eastAsia="宋体" w:hAnsiTheme="majorBidi" w:cstheme="majorBidi"/>
          <w:b/>
          <w:lang w:val="en-US"/>
        </w:rPr>
      </w:pPr>
      <w:r w:rsidRPr="00F23EE7">
        <w:rPr>
          <w:rFonts w:asciiTheme="majorBidi" w:eastAsia="宋体" w:hAnsiTheme="majorBidi" w:cstheme="majorBidi"/>
          <w:b/>
          <w:lang w:val="en-US"/>
        </w:rPr>
        <w:t>Spectral mask, ACLR</w:t>
      </w:r>
      <w:r w:rsidR="00F23EE7">
        <w:rPr>
          <w:rFonts w:asciiTheme="majorBidi" w:eastAsia="宋体" w:hAnsiTheme="majorBidi" w:cstheme="majorBidi"/>
          <w:b/>
          <w:lang w:val="en-US"/>
        </w:rPr>
        <w:t>:</w:t>
      </w:r>
    </w:p>
    <w:p w14:paraId="6A57A05B" w14:textId="3C06130A" w:rsidR="00831C85" w:rsidRDefault="007161B3" w:rsidP="00831C85">
      <w:r>
        <w:lastRenderedPageBreak/>
        <w:t>Previously for all FR1 frequencies the values determined for the 2GHz BS have been adopted</w:t>
      </w:r>
      <w:r w:rsidR="00A942AD">
        <w:t xml:space="preserve">, e.g. </w:t>
      </w:r>
      <w:r w:rsidR="00E8712E">
        <w:t>30</w:t>
      </w:r>
      <w:r>
        <w:t xml:space="preserve"> </w:t>
      </w:r>
      <w:r w:rsidR="00E8712E">
        <w:t>dBc UE ACLR and 46</w:t>
      </w:r>
      <w:r w:rsidR="00A942AD">
        <w:t xml:space="preserve"> dB</w:t>
      </w:r>
      <w:r w:rsidR="00E8712E">
        <w:t xml:space="preserve"> BS ACS for U</w:t>
      </w:r>
      <w:r w:rsidR="00A942AD">
        <w:t>L. For the higher frequency and associated higher path loss, it is foreseen that the required ACIR will be lower. It will be important that the ACLR and ACS are not over specified.</w:t>
      </w:r>
      <w:r w:rsidR="00F23EE7">
        <w:t xml:space="preserve"> Hence it is important that co-existence simulations are carried out to derive the ACLR and ACS limits. </w:t>
      </w:r>
    </w:p>
    <w:p w14:paraId="729BEE53" w14:textId="77777777" w:rsidR="00E53C75" w:rsidRDefault="00F23EE7" w:rsidP="00831C85">
      <w:pPr>
        <w:rPr>
          <w:rFonts w:eastAsia="MS Mincho"/>
          <w:lang w:eastAsia="ja-JP"/>
        </w:rPr>
      </w:pPr>
      <w:r w:rsidRPr="00CE089B">
        <w:rPr>
          <w:rFonts w:asciiTheme="majorBidi" w:eastAsia="宋体" w:hAnsiTheme="majorBidi" w:cstheme="majorBidi"/>
          <w:b/>
          <w:lang w:val="en-US"/>
        </w:rPr>
        <w:t>Maximum output power:</w:t>
      </w:r>
      <w:r>
        <w:rPr>
          <w:rFonts w:eastAsia="MS Mincho"/>
          <w:lang w:eastAsia="ja-JP"/>
        </w:rPr>
        <w:t xml:space="preserve"> </w:t>
      </w:r>
    </w:p>
    <w:p w14:paraId="3F4EECD7" w14:textId="5AED52FC" w:rsidR="00F23EE7" w:rsidRDefault="00E53C75" w:rsidP="00831C85">
      <w:r>
        <w:rPr>
          <w:rFonts w:asciiTheme="majorBidi" w:eastAsia="宋体" w:hAnsiTheme="majorBidi" w:cstheme="majorBidi"/>
          <w:lang w:val="en-US"/>
        </w:rPr>
        <w:t>TR 38.820 indicates that 23dBm is feasible at 10-10.5GHz hence this is a good assumption to make as a worst case for any co-existence analysis (although actual power may be lower due to implementation at the higher frequencies)</w:t>
      </w:r>
      <w:r w:rsidR="001000DC">
        <w:rPr>
          <w:rFonts w:asciiTheme="majorBidi" w:eastAsia="宋体" w:hAnsiTheme="majorBidi" w:cstheme="majorBidi"/>
          <w:lang w:val="en-US"/>
        </w:rPr>
        <w:t xml:space="preserve"> </w:t>
      </w:r>
    </w:p>
    <w:p w14:paraId="4836A270" w14:textId="27871E66" w:rsidR="00F23EE7" w:rsidRDefault="00CE089B" w:rsidP="00831C85">
      <w:pPr>
        <w:rPr>
          <w:b/>
          <w:u w:val="single"/>
        </w:rPr>
      </w:pPr>
      <w:r w:rsidRPr="00CE089B">
        <w:rPr>
          <w:b/>
          <w:u w:val="single"/>
        </w:rPr>
        <w:t>Receiver characteristics</w:t>
      </w:r>
    </w:p>
    <w:p w14:paraId="2D8B0BD1" w14:textId="533B276E"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Noise figure</w:t>
      </w:r>
      <w:r w:rsidR="00306728" w:rsidRPr="00306728">
        <w:rPr>
          <w:rFonts w:asciiTheme="majorBidi" w:eastAsia="宋体" w:hAnsiTheme="majorBidi" w:cstheme="majorBidi"/>
          <w:b/>
          <w:lang w:val="en-US"/>
        </w:rPr>
        <w:t xml:space="preserve">: </w:t>
      </w:r>
    </w:p>
    <w:p w14:paraId="74ECACCE" w14:textId="287D8675" w:rsidR="001000DC" w:rsidRPr="00E53C75" w:rsidRDefault="001000DC" w:rsidP="00306728">
      <w:r>
        <w:t>The assumptions from TR 38.820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3047"/>
      </w:tblGrid>
      <w:tr w:rsidR="001000DC" w:rsidRPr="00562446" w14:paraId="4F1EB44F" w14:textId="77777777" w:rsidTr="0000279B">
        <w:trPr>
          <w:jc w:val="center"/>
        </w:trPr>
        <w:tc>
          <w:tcPr>
            <w:tcW w:w="0" w:type="auto"/>
            <w:shd w:val="clear" w:color="auto" w:fill="auto"/>
          </w:tcPr>
          <w:p w14:paraId="36AE4E60" w14:textId="77777777" w:rsidR="001000DC" w:rsidRPr="00562446" w:rsidRDefault="001000DC" w:rsidP="0000279B">
            <w:pPr>
              <w:pStyle w:val="TAH"/>
            </w:pPr>
            <w:r w:rsidRPr="00562446">
              <w:t>Example frequency (GHz)</w:t>
            </w:r>
          </w:p>
        </w:tc>
        <w:tc>
          <w:tcPr>
            <w:tcW w:w="3147" w:type="dxa"/>
            <w:shd w:val="clear" w:color="auto" w:fill="auto"/>
          </w:tcPr>
          <w:p w14:paraId="5801964F" w14:textId="77777777" w:rsidR="001000DC" w:rsidRPr="00562446" w:rsidRDefault="001000DC" w:rsidP="0000279B">
            <w:pPr>
              <w:pStyle w:val="TAH"/>
            </w:pPr>
            <w:r w:rsidRPr="00562446">
              <w:t>Typical NF values for NR BS (dB)</w:t>
            </w:r>
          </w:p>
        </w:tc>
        <w:tc>
          <w:tcPr>
            <w:tcW w:w="0" w:type="auto"/>
          </w:tcPr>
          <w:p w14:paraId="4FF041F2" w14:textId="77777777" w:rsidR="001000DC" w:rsidRPr="00562446" w:rsidRDefault="001000DC" w:rsidP="0000279B">
            <w:pPr>
              <w:pStyle w:val="TAH"/>
            </w:pPr>
            <w:r w:rsidRPr="00562446">
              <w:t>Typical NF values for NR UE (dB)</w:t>
            </w:r>
          </w:p>
        </w:tc>
      </w:tr>
      <w:tr w:rsidR="001000DC" w:rsidRPr="00562446" w14:paraId="2C261388" w14:textId="77777777" w:rsidTr="0000279B">
        <w:trPr>
          <w:jc w:val="center"/>
        </w:trPr>
        <w:tc>
          <w:tcPr>
            <w:tcW w:w="0" w:type="auto"/>
            <w:shd w:val="clear" w:color="auto" w:fill="auto"/>
          </w:tcPr>
          <w:p w14:paraId="67F81AE8" w14:textId="77777777" w:rsidR="001000DC" w:rsidRPr="00562446" w:rsidRDefault="001000DC" w:rsidP="0000279B">
            <w:pPr>
              <w:pStyle w:val="TAC"/>
            </w:pPr>
            <w:r w:rsidRPr="00562446">
              <w:t>10</w:t>
            </w:r>
          </w:p>
        </w:tc>
        <w:tc>
          <w:tcPr>
            <w:tcW w:w="3147" w:type="dxa"/>
            <w:shd w:val="clear" w:color="auto" w:fill="auto"/>
          </w:tcPr>
          <w:p w14:paraId="342D18D0" w14:textId="77777777" w:rsidR="001000DC" w:rsidRPr="00562446" w:rsidRDefault="001000DC" w:rsidP="0000279B">
            <w:pPr>
              <w:pStyle w:val="TAC"/>
            </w:pPr>
            <w:r w:rsidRPr="00562446">
              <w:t xml:space="preserve">7 </w:t>
            </w:r>
          </w:p>
        </w:tc>
        <w:tc>
          <w:tcPr>
            <w:tcW w:w="0" w:type="auto"/>
          </w:tcPr>
          <w:p w14:paraId="411DB7EF" w14:textId="77777777" w:rsidR="001000DC" w:rsidRPr="00562446" w:rsidRDefault="001000DC" w:rsidP="0000279B">
            <w:pPr>
              <w:pStyle w:val="TAC"/>
            </w:pPr>
            <w:r>
              <w:rPr>
                <w:rFonts w:cs="Arial"/>
                <w:lang w:eastAsia="zh-CN"/>
              </w:rPr>
              <w:t>9</w:t>
            </w:r>
          </w:p>
        </w:tc>
      </w:tr>
      <w:tr w:rsidR="001000DC" w14:paraId="026EF815" w14:textId="77777777" w:rsidTr="0000279B">
        <w:trPr>
          <w:jc w:val="center"/>
        </w:trPr>
        <w:tc>
          <w:tcPr>
            <w:tcW w:w="8591" w:type="dxa"/>
            <w:gridSpan w:val="3"/>
            <w:shd w:val="clear" w:color="auto" w:fill="auto"/>
          </w:tcPr>
          <w:p w14:paraId="35225DA3" w14:textId="77777777" w:rsidR="001000DC" w:rsidRDefault="001000DC" w:rsidP="0000279B">
            <w:pPr>
              <w:pStyle w:val="TAN"/>
              <w:rPr>
                <w:rFonts w:cs="Arial"/>
                <w:lang w:eastAsia="zh-CN"/>
              </w:rPr>
            </w:pPr>
            <w:r>
              <w:rPr>
                <w:lang w:eastAsia="zh-CN"/>
              </w:rPr>
              <w:t>Note:</w:t>
            </w:r>
            <w:r>
              <w:rPr>
                <w:lang w:eastAsia="zh-CN"/>
              </w:rPr>
              <w:tab/>
              <w:t>UE implementation margin can vary. NF value could be revised for higher frequencies. NF value shall not be revised to a value that is higher than the FR2 value.</w:t>
            </w:r>
          </w:p>
        </w:tc>
      </w:tr>
    </w:tbl>
    <w:p w14:paraId="372D26CD" w14:textId="52788755" w:rsidR="001000DC" w:rsidRPr="001000DC" w:rsidRDefault="001000DC" w:rsidP="00306728"/>
    <w:p w14:paraId="2484770B" w14:textId="2BE96734"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Sensitivity</w:t>
      </w:r>
      <w:r w:rsidR="00887638">
        <w:rPr>
          <w:rFonts w:asciiTheme="majorBidi" w:eastAsia="宋体" w:hAnsiTheme="majorBidi" w:cstheme="majorBidi"/>
          <w:b/>
          <w:lang w:val="en-US"/>
        </w:rPr>
        <w:t>:</w:t>
      </w:r>
    </w:p>
    <w:p w14:paraId="230E1AF9" w14:textId="5D958668" w:rsidR="0088627E" w:rsidRPr="00887638" w:rsidRDefault="00844B3D" w:rsidP="00957B3A">
      <w:pPr>
        <w:rPr>
          <w:lang w:val="en-US" w:eastAsia="zh-CN"/>
        </w:rPr>
      </w:pPr>
      <w:r>
        <w:rPr>
          <w:lang w:val="en-US" w:eastAsia="zh-CN"/>
        </w:rPr>
        <w:t xml:space="preserve">UE: FR1 and </w:t>
      </w:r>
      <w:r w:rsidR="0088627E">
        <w:rPr>
          <w:lang w:val="en-US" w:eastAsia="zh-CN"/>
        </w:rPr>
        <w:t xml:space="preserve">FR2 also have different sensitivity requirements, </w:t>
      </w:r>
      <w:r>
        <w:rPr>
          <w:lang w:val="en-US" w:eastAsia="zh-CN"/>
        </w:rPr>
        <w:t>the 7 to 24GHz SI (TR 38.820) estimated that in the range 7.125 to [10 to 13] GHz the UE requirements would be “FR1 like” hence we can assume that the 10-10</w:t>
      </w:r>
      <w:r w:rsidR="00E8712E">
        <w:rPr>
          <w:lang w:val="en-US" w:eastAsia="zh-CN"/>
        </w:rPr>
        <w:t>.</w:t>
      </w:r>
      <w:r>
        <w:rPr>
          <w:lang w:val="en-US" w:eastAsia="zh-CN"/>
        </w:rPr>
        <w:t>5GHz UE will have sensitivity requirements similar to TS 38.101-1 clause 7.3 but with the sensitivity adjusted for the increased NF.</w:t>
      </w:r>
    </w:p>
    <w:p w14:paraId="511B948B" w14:textId="5D8FD1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Blocking response</w:t>
      </w:r>
    </w:p>
    <w:p w14:paraId="5BDBC6B0" w14:textId="42AECF73" w:rsidR="00844B3D" w:rsidRDefault="00844B3D" w:rsidP="00831C85">
      <w:pPr>
        <w:rPr>
          <w:lang w:val="en-US" w:eastAsia="zh-CN"/>
        </w:rPr>
      </w:pPr>
      <w:r>
        <w:rPr>
          <w:rFonts w:hint="eastAsia"/>
          <w:lang w:val="en-US" w:eastAsia="zh-CN"/>
        </w:rPr>
        <w:t>L</w:t>
      </w:r>
      <w:r>
        <w:rPr>
          <w:lang w:val="en-US" w:eastAsia="zh-CN"/>
        </w:rPr>
        <w:t>ike ACLR/ACS the blocking interferer level is reduced by higher path loss. The increased PL at 10-10.5GHz means that blocking levels may be lower, over specifying blocking levels is not recommended and hence a co-existence IBB simulation is recommended.</w:t>
      </w:r>
    </w:p>
    <w:p w14:paraId="4FB9C8A3" w14:textId="474108CD" w:rsidR="001E2D63" w:rsidRPr="00306728" w:rsidRDefault="00E53C75" w:rsidP="00831C85">
      <w:pPr>
        <w:rPr>
          <w:rFonts w:asciiTheme="majorBidi" w:eastAsia="宋体" w:hAnsiTheme="majorBidi" w:cstheme="majorBidi"/>
          <w:b/>
          <w:lang w:val="en-US"/>
        </w:rPr>
      </w:pPr>
      <w:r>
        <w:rPr>
          <w:lang w:eastAsia="zh-CN"/>
        </w:rPr>
        <w:t>AS with eth sensitivity it seems likely the UE will have FR1 like requirements so for IBB we</w:t>
      </w:r>
      <w:r w:rsidR="001E2D63">
        <w:rPr>
          <w:lang w:eastAsia="zh-CN"/>
        </w:rPr>
        <w:t xml:space="preserve"> can refer to TS 38.101-1 clause </w:t>
      </w:r>
      <w:r w:rsidR="001E2D63">
        <w:t>7.6.2</w:t>
      </w:r>
      <w:r>
        <w:t xml:space="preserve"> however the wanted signal and the interferer levels will be adjusted based on the NF and the results of any blocking analysis.</w:t>
      </w:r>
    </w:p>
    <w:p w14:paraId="08A704C1" w14:textId="00D03441" w:rsidR="00CE089B" w:rsidRDefault="00CE089B" w:rsidP="00831C85">
      <w:pPr>
        <w:rPr>
          <w:rFonts w:asciiTheme="majorBidi" w:eastAsia="宋体" w:hAnsiTheme="majorBidi" w:cstheme="majorBidi"/>
          <w:b/>
          <w:lang w:val="en-US"/>
        </w:rPr>
      </w:pPr>
      <w:r w:rsidRPr="00306728">
        <w:rPr>
          <w:rFonts w:asciiTheme="majorBidi" w:eastAsia="宋体" w:hAnsiTheme="majorBidi" w:cstheme="majorBidi"/>
          <w:b/>
          <w:lang w:val="en-US"/>
        </w:rPr>
        <w:t>ACS</w:t>
      </w:r>
    </w:p>
    <w:p w14:paraId="491FC876" w14:textId="02E22E37" w:rsidR="001E2D63" w:rsidRPr="001E2D63" w:rsidRDefault="001E2D63" w:rsidP="00831C85">
      <w:r w:rsidRPr="001E2D63">
        <w:t xml:space="preserve">As discussed for ACLR, </w:t>
      </w:r>
      <w:r>
        <w:t>co-existence simulations are carried out to derive the ACLR and ACS limits.</w:t>
      </w:r>
    </w:p>
    <w:p w14:paraId="0E79DF51" w14:textId="408A0A07" w:rsidR="00D8669A" w:rsidRDefault="001E2D63" w:rsidP="0062377C">
      <w:pPr>
        <w:pStyle w:val="1"/>
        <w:numPr>
          <w:ilvl w:val="0"/>
          <w:numId w:val="21"/>
        </w:numPr>
      </w:pPr>
      <w:r>
        <w:t>Conclusion</w:t>
      </w:r>
    </w:p>
    <w:p w14:paraId="0B0F2CD2" w14:textId="16427C44" w:rsidR="001E2D63" w:rsidRDefault="001E2D63" w:rsidP="0062377C">
      <w:pPr>
        <w:rPr>
          <w:lang w:eastAsia="zh-CN"/>
        </w:rPr>
      </w:pPr>
      <w:r>
        <w:rPr>
          <w:rFonts w:hint="eastAsia"/>
          <w:lang w:eastAsia="zh-CN"/>
        </w:rPr>
        <w:t>T</w:t>
      </w:r>
      <w:r>
        <w:rPr>
          <w:lang w:eastAsia="zh-CN"/>
        </w:rPr>
        <w:t xml:space="preserve">he contribution provide an overview on </w:t>
      </w:r>
      <w:r>
        <w:rPr>
          <w:lang w:val="en-US"/>
        </w:rPr>
        <w:t>IMT technology related parameters</w:t>
      </w:r>
      <w:r w:rsidR="000D0865">
        <w:rPr>
          <w:lang w:val="en-US"/>
        </w:rPr>
        <w:t xml:space="preserve"> in WP5D LS</w:t>
      </w:r>
      <w:r w:rsidR="004A08D1">
        <w:rPr>
          <w:lang w:val="en-US"/>
        </w:rPr>
        <w:t xml:space="preserve"> for the 10-105GHz frequency range</w:t>
      </w:r>
      <w:r w:rsidR="00110AAD">
        <w:rPr>
          <w:lang w:val="en-US"/>
        </w:rPr>
        <w:t xml:space="preserve"> UE</w:t>
      </w:r>
      <w:r w:rsidR="000D0865">
        <w:rPr>
          <w:lang w:val="en-US"/>
        </w:rPr>
        <w:t xml:space="preserve">. It is found that </w:t>
      </w:r>
      <w:r w:rsidR="000D0865">
        <w:t>co-existence simulations in RAN4 may be</w:t>
      </w:r>
      <w:r w:rsidR="004A08D1">
        <w:t xml:space="preserve"> required to derive the ACLR/ACS </w:t>
      </w:r>
      <w:bookmarkStart w:id="9" w:name="OLE_LINK24"/>
      <w:bookmarkStart w:id="10" w:name="OLE_LINK25"/>
      <w:r w:rsidR="00110AAD">
        <w:t xml:space="preserve">and </w:t>
      </w:r>
      <w:r w:rsidR="004A08D1">
        <w:t xml:space="preserve">blocking </w:t>
      </w:r>
      <w:r w:rsidR="00110AAD">
        <w:t xml:space="preserve">response </w:t>
      </w:r>
      <w:r w:rsidR="004A08D1">
        <w:t>limits</w:t>
      </w:r>
      <w:r w:rsidR="000D0865">
        <w:t>.</w:t>
      </w:r>
      <w:bookmarkEnd w:id="9"/>
      <w:bookmarkEnd w:id="10"/>
    </w:p>
    <w:p w14:paraId="1974B869" w14:textId="20066838" w:rsidR="003C32D4" w:rsidRDefault="003C32D4" w:rsidP="003C32D4">
      <w:pPr>
        <w:pStyle w:val="1"/>
      </w:pPr>
      <w:r>
        <w:rPr>
          <w:rFonts w:hint="eastAsia"/>
        </w:rPr>
        <w:t>R</w:t>
      </w:r>
      <w:r>
        <w:t>eferences</w:t>
      </w:r>
    </w:p>
    <w:p w14:paraId="4055DBE7" w14:textId="6D93F4CC" w:rsidR="003C32D4" w:rsidRPr="00D81792" w:rsidRDefault="003C32D4" w:rsidP="003C32D4">
      <w:r>
        <w:rPr>
          <w:rFonts w:hint="eastAsia"/>
        </w:rPr>
        <w:t>[1]</w:t>
      </w:r>
      <w:r>
        <w:rPr>
          <w:rFonts w:hint="eastAsia"/>
        </w:rPr>
        <w:tab/>
      </w:r>
      <w:r w:rsidRPr="003C32D4">
        <w:t>RP-200513</w:t>
      </w:r>
      <w:r w:rsidR="000D0865">
        <w:t>,</w:t>
      </w:r>
      <w:r>
        <w:tab/>
      </w:r>
      <w:r w:rsidRPr="003C32D4">
        <w:t>New SI proposal: Study on IMT parameters for 6.425-7.025GHz, 7.025-7.125GHz and 10.0-10.5GHz</w:t>
      </w:r>
      <w:r>
        <w:tab/>
      </w:r>
      <w:r w:rsidRPr="003C32D4">
        <w:t>Ericsson, Huawei, HiSilicon</w:t>
      </w:r>
    </w:p>
    <w:p w14:paraId="319E08B3" w14:textId="77777777" w:rsidR="00171DF3" w:rsidRPr="00171DF3" w:rsidRDefault="00171DF3" w:rsidP="00C602F1">
      <w:pPr>
        <w:rPr>
          <w:rFonts w:eastAsia="宋体"/>
          <w:color w:val="FF0000"/>
        </w:rPr>
      </w:pPr>
    </w:p>
    <w:sectPr w:rsidR="00171DF3" w:rsidRPr="00171DF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9E31A" w14:textId="77777777" w:rsidR="00F24E9F" w:rsidRDefault="00F24E9F">
      <w:r>
        <w:separator/>
      </w:r>
    </w:p>
  </w:endnote>
  <w:endnote w:type="continuationSeparator" w:id="0">
    <w:p w14:paraId="4C164E6F" w14:textId="77777777" w:rsidR="00F24E9F" w:rsidRDefault="00F2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0457" w14:textId="77777777" w:rsidR="00F24E9F" w:rsidRDefault="00F24E9F">
      <w:r>
        <w:separator/>
      </w:r>
    </w:p>
  </w:footnote>
  <w:footnote w:type="continuationSeparator" w:id="0">
    <w:p w14:paraId="7644ADB5" w14:textId="77777777" w:rsidR="00F24E9F" w:rsidRDefault="00F24E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5"/>
  </w:num>
  <w:num w:numId="6">
    <w:abstractNumId w:val="26"/>
  </w:num>
  <w:num w:numId="7">
    <w:abstractNumId w:val="21"/>
  </w:num>
  <w:num w:numId="8">
    <w:abstractNumId w:val="23"/>
  </w:num>
  <w:num w:numId="9">
    <w:abstractNumId w:val="2"/>
  </w:num>
  <w:num w:numId="10">
    <w:abstractNumId w:val="28"/>
  </w:num>
  <w:num w:numId="11">
    <w:abstractNumId w:val="41"/>
  </w:num>
  <w:num w:numId="12">
    <w:abstractNumId w:val="16"/>
  </w:num>
  <w:num w:numId="13">
    <w:abstractNumId w:val="18"/>
  </w:num>
  <w:num w:numId="14">
    <w:abstractNumId w:val="29"/>
  </w:num>
  <w:num w:numId="15">
    <w:abstractNumId w:val="32"/>
  </w:num>
  <w:num w:numId="16">
    <w:abstractNumId w:val="15"/>
  </w:num>
  <w:num w:numId="17">
    <w:abstractNumId w:val="3"/>
  </w:num>
  <w:num w:numId="18">
    <w:abstractNumId w:val="34"/>
  </w:num>
  <w:num w:numId="19">
    <w:abstractNumId w:val="33"/>
  </w:num>
  <w:num w:numId="20">
    <w:abstractNumId w:val="17"/>
  </w:num>
  <w:num w:numId="21">
    <w:abstractNumId w:val="10"/>
  </w:num>
  <w:num w:numId="22">
    <w:abstractNumId w:val="5"/>
  </w:num>
  <w:num w:numId="23">
    <w:abstractNumId w:val="37"/>
  </w:num>
  <w:num w:numId="24">
    <w:abstractNumId w:val="12"/>
  </w:num>
  <w:num w:numId="25">
    <w:abstractNumId w:val="9"/>
  </w:num>
  <w:num w:numId="26">
    <w:abstractNumId w:val="39"/>
  </w:num>
  <w:num w:numId="27">
    <w:abstractNumId w:val="38"/>
  </w:num>
  <w:num w:numId="28">
    <w:abstractNumId w:val="31"/>
  </w:num>
  <w:num w:numId="29">
    <w:abstractNumId w:val="40"/>
  </w:num>
  <w:num w:numId="30">
    <w:abstractNumId w:val="22"/>
  </w:num>
  <w:num w:numId="31">
    <w:abstractNumId w:val="6"/>
  </w:num>
  <w:num w:numId="32">
    <w:abstractNumId w:val="30"/>
  </w:num>
  <w:num w:numId="33">
    <w:abstractNumId w:val="24"/>
  </w:num>
  <w:num w:numId="34">
    <w:abstractNumId w:val="8"/>
  </w:num>
  <w:num w:numId="35">
    <w:abstractNumId w:val="11"/>
  </w:num>
  <w:num w:numId="36">
    <w:abstractNumId w:val="4"/>
  </w:num>
  <w:num w:numId="37">
    <w:abstractNumId w:val="7"/>
  </w:num>
  <w:num w:numId="38">
    <w:abstractNumId w:val="13"/>
  </w:num>
  <w:num w:numId="39">
    <w:abstractNumId w:val="20"/>
  </w:num>
  <w:num w:numId="40">
    <w:abstractNumId w:val="36"/>
  </w:num>
  <w:num w:numId="41">
    <w:abstractNumId w:val="42"/>
  </w:num>
  <w:num w:numId="42">
    <w:abstractNumId w:val="27"/>
  </w:num>
  <w:num w:numId="43">
    <w:abstractNumId w:val="19"/>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5221"/>
    <w:rsid w:val="00093E7E"/>
    <w:rsid w:val="000A7DD0"/>
    <w:rsid w:val="000B5956"/>
    <w:rsid w:val="000D0865"/>
    <w:rsid w:val="000D435B"/>
    <w:rsid w:val="000D6CFC"/>
    <w:rsid w:val="000E3591"/>
    <w:rsid w:val="000E51ED"/>
    <w:rsid w:val="001000DC"/>
    <w:rsid w:val="00103185"/>
    <w:rsid w:val="001047B7"/>
    <w:rsid w:val="00110AAD"/>
    <w:rsid w:val="001208C3"/>
    <w:rsid w:val="001269BC"/>
    <w:rsid w:val="00153528"/>
    <w:rsid w:val="001604CD"/>
    <w:rsid w:val="00171DF3"/>
    <w:rsid w:val="00172B61"/>
    <w:rsid w:val="001761B2"/>
    <w:rsid w:val="00191FD0"/>
    <w:rsid w:val="001A08AA"/>
    <w:rsid w:val="001A3120"/>
    <w:rsid w:val="001A51E3"/>
    <w:rsid w:val="001A7E04"/>
    <w:rsid w:val="001B256C"/>
    <w:rsid w:val="001B2F0C"/>
    <w:rsid w:val="001C3A35"/>
    <w:rsid w:val="001C53E5"/>
    <w:rsid w:val="001D5E31"/>
    <w:rsid w:val="001D635C"/>
    <w:rsid w:val="001E135B"/>
    <w:rsid w:val="001E2D63"/>
    <w:rsid w:val="001F7A32"/>
    <w:rsid w:val="00212373"/>
    <w:rsid w:val="002138EA"/>
    <w:rsid w:val="00214FBD"/>
    <w:rsid w:val="00222897"/>
    <w:rsid w:val="00233269"/>
    <w:rsid w:val="00235394"/>
    <w:rsid w:val="0023738A"/>
    <w:rsid w:val="00245A42"/>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6728"/>
    <w:rsid w:val="003076EE"/>
    <w:rsid w:val="00307FE3"/>
    <w:rsid w:val="00312074"/>
    <w:rsid w:val="00324C71"/>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A62B8"/>
    <w:rsid w:val="003B3240"/>
    <w:rsid w:val="003C127C"/>
    <w:rsid w:val="003C1CF6"/>
    <w:rsid w:val="003C32D4"/>
    <w:rsid w:val="003D7224"/>
    <w:rsid w:val="003E0755"/>
    <w:rsid w:val="003E4B1C"/>
    <w:rsid w:val="003F0FF2"/>
    <w:rsid w:val="004104BD"/>
    <w:rsid w:val="00416DA7"/>
    <w:rsid w:val="004219AB"/>
    <w:rsid w:val="00425DC9"/>
    <w:rsid w:val="00430980"/>
    <w:rsid w:val="00444225"/>
    <w:rsid w:val="00450ADA"/>
    <w:rsid w:val="004836DA"/>
    <w:rsid w:val="00486547"/>
    <w:rsid w:val="00494025"/>
    <w:rsid w:val="004A08D1"/>
    <w:rsid w:val="004A17C7"/>
    <w:rsid w:val="004B3A0A"/>
    <w:rsid w:val="004B5C8E"/>
    <w:rsid w:val="004B73DB"/>
    <w:rsid w:val="004C3CE5"/>
    <w:rsid w:val="004C4342"/>
    <w:rsid w:val="004D71B0"/>
    <w:rsid w:val="004D7A3C"/>
    <w:rsid w:val="004F4D76"/>
    <w:rsid w:val="004F7A3D"/>
    <w:rsid w:val="00505BFA"/>
    <w:rsid w:val="00505F46"/>
    <w:rsid w:val="00513582"/>
    <w:rsid w:val="00527D2B"/>
    <w:rsid w:val="00542158"/>
    <w:rsid w:val="005421E4"/>
    <w:rsid w:val="005425EF"/>
    <w:rsid w:val="005530AA"/>
    <w:rsid w:val="00574154"/>
    <w:rsid w:val="00583B03"/>
    <w:rsid w:val="005858AA"/>
    <w:rsid w:val="005A1FA8"/>
    <w:rsid w:val="005A4B57"/>
    <w:rsid w:val="005B0171"/>
    <w:rsid w:val="005C006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6772D"/>
    <w:rsid w:val="0068057B"/>
    <w:rsid w:val="006856E5"/>
    <w:rsid w:val="00696140"/>
    <w:rsid w:val="006A1E7A"/>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161B3"/>
    <w:rsid w:val="00722929"/>
    <w:rsid w:val="007247D5"/>
    <w:rsid w:val="00727F86"/>
    <w:rsid w:val="0073182D"/>
    <w:rsid w:val="00731930"/>
    <w:rsid w:val="00733573"/>
    <w:rsid w:val="007350F6"/>
    <w:rsid w:val="00751982"/>
    <w:rsid w:val="007552FB"/>
    <w:rsid w:val="007651E3"/>
    <w:rsid w:val="00766A77"/>
    <w:rsid w:val="0078144D"/>
    <w:rsid w:val="007972FF"/>
    <w:rsid w:val="007A72E9"/>
    <w:rsid w:val="007B6162"/>
    <w:rsid w:val="007B6D18"/>
    <w:rsid w:val="007C1BCF"/>
    <w:rsid w:val="007C2BC8"/>
    <w:rsid w:val="007D56FF"/>
    <w:rsid w:val="007D6048"/>
    <w:rsid w:val="007E376C"/>
    <w:rsid w:val="007E42EB"/>
    <w:rsid w:val="007E54CD"/>
    <w:rsid w:val="007E59AE"/>
    <w:rsid w:val="007E6A3B"/>
    <w:rsid w:val="007F0E1E"/>
    <w:rsid w:val="007F4253"/>
    <w:rsid w:val="007F6103"/>
    <w:rsid w:val="007F62EA"/>
    <w:rsid w:val="00803F95"/>
    <w:rsid w:val="00812D42"/>
    <w:rsid w:val="008154D5"/>
    <w:rsid w:val="008239B4"/>
    <w:rsid w:val="00823E1D"/>
    <w:rsid w:val="008275C3"/>
    <w:rsid w:val="00831C85"/>
    <w:rsid w:val="00832EC2"/>
    <w:rsid w:val="00836C44"/>
    <w:rsid w:val="00836E04"/>
    <w:rsid w:val="00844063"/>
    <w:rsid w:val="00844B3D"/>
    <w:rsid w:val="008717AB"/>
    <w:rsid w:val="0088627E"/>
    <w:rsid w:val="008873FB"/>
    <w:rsid w:val="00887638"/>
    <w:rsid w:val="00893454"/>
    <w:rsid w:val="00893DD9"/>
    <w:rsid w:val="00895EC8"/>
    <w:rsid w:val="008B6EE0"/>
    <w:rsid w:val="008B77DD"/>
    <w:rsid w:val="008C59C4"/>
    <w:rsid w:val="008C60E9"/>
    <w:rsid w:val="008C6746"/>
    <w:rsid w:val="008D34CB"/>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57B3A"/>
    <w:rsid w:val="00961F97"/>
    <w:rsid w:val="00970A09"/>
    <w:rsid w:val="00975DF1"/>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B4DE0"/>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42E53"/>
    <w:rsid w:val="00A5625D"/>
    <w:rsid w:val="00A56EEE"/>
    <w:rsid w:val="00A63A9C"/>
    <w:rsid w:val="00A65439"/>
    <w:rsid w:val="00A72864"/>
    <w:rsid w:val="00A81B15"/>
    <w:rsid w:val="00A835D7"/>
    <w:rsid w:val="00A85DBC"/>
    <w:rsid w:val="00A9364F"/>
    <w:rsid w:val="00A942AD"/>
    <w:rsid w:val="00A96C36"/>
    <w:rsid w:val="00AA1ACA"/>
    <w:rsid w:val="00AA5DED"/>
    <w:rsid w:val="00AB3F85"/>
    <w:rsid w:val="00AC694F"/>
    <w:rsid w:val="00AD091A"/>
    <w:rsid w:val="00AD6C47"/>
    <w:rsid w:val="00AD6E1C"/>
    <w:rsid w:val="00AD7B11"/>
    <w:rsid w:val="00AE2D7A"/>
    <w:rsid w:val="00AE5E8E"/>
    <w:rsid w:val="00AE64B3"/>
    <w:rsid w:val="00AE6BBA"/>
    <w:rsid w:val="00AE778F"/>
    <w:rsid w:val="00AF05EE"/>
    <w:rsid w:val="00B12D97"/>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C5E39"/>
    <w:rsid w:val="00BD445B"/>
    <w:rsid w:val="00BD6420"/>
    <w:rsid w:val="00C11490"/>
    <w:rsid w:val="00C3068F"/>
    <w:rsid w:val="00C34B0C"/>
    <w:rsid w:val="00C37EA9"/>
    <w:rsid w:val="00C43C6E"/>
    <w:rsid w:val="00C51828"/>
    <w:rsid w:val="00C55C02"/>
    <w:rsid w:val="00C602F1"/>
    <w:rsid w:val="00C60500"/>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089B"/>
    <w:rsid w:val="00CE12F4"/>
    <w:rsid w:val="00CE1BE6"/>
    <w:rsid w:val="00CE5967"/>
    <w:rsid w:val="00CE627D"/>
    <w:rsid w:val="00CE6E30"/>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1792"/>
    <w:rsid w:val="00D8669A"/>
    <w:rsid w:val="00D91919"/>
    <w:rsid w:val="00D92FE0"/>
    <w:rsid w:val="00DA0F3D"/>
    <w:rsid w:val="00DC0640"/>
    <w:rsid w:val="00DD0C2C"/>
    <w:rsid w:val="00DF7083"/>
    <w:rsid w:val="00E12EB7"/>
    <w:rsid w:val="00E13055"/>
    <w:rsid w:val="00E13A4A"/>
    <w:rsid w:val="00E24717"/>
    <w:rsid w:val="00E24FE0"/>
    <w:rsid w:val="00E25C05"/>
    <w:rsid w:val="00E31856"/>
    <w:rsid w:val="00E417C4"/>
    <w:rsid w:val="00E510D4"/>
    <w:rsid w:val="00E52F3B"/>
    <w:rsid w:val="00E53C75"/>
    <w:rsid w:val="00E55ABC"/>
    <w:rsid w:val="00E57B74"/>
    <w:rsid w:val="00E67C32"/>
    <w:rsid w:val="00E73A60"/>
    <w:rsid w:val="00E7697D"/>
    <w:rsid w:val="00E8629F"/>
    <w:rsid w:val="00E8712E"/>
    <w:rsid w:val="00E90178"/>
    <w:rsid w:val="00E96009"/>
    <w:rsid w:val="00E96535"/>
    <w:rsid w:val="00EA3C24"/>
    <w:rsid w:val="00EB37D2"/>
    <w:rsid w:val="00EB3BDE"/>
    <w:rsid w:val="00EB5789"/>
    <w:rsid w:val="00EC0173"/>
    <w:rsid w:val="00ED04DF"/>
    <w:rsid w:val="00EE370E"/>
    <w:rsid w:val="00EE41ED"/>
    <w:rsid w:val="00EE587A"/>
    <w:rsid w:val="00EE65ED"/>
    <w:rsid w:val="00EF2512"/>
    <w:rsid w:val="00EF7683"/>
    <w:rsid w:val="00F00DE1"/>
    <w:rsid w:val="00F072D8"/>
    <w:rsid w:val="00F21F81"/>
    <w:rsid w:val="00F22A25"/>
    <w:rsid w:val="00F23EE7"/>
    <w:rsid w:val="00F24E9F"/>
    <w:rsid w:val="00F25D2D"/>
    <w:rsid w:val="00F30686"/>
    <w:rsid w:val="00F331D1"/>
    <w:rsid w:val="00F414FE"/>
    <w:rsid w:val="00F452AE"/>
    <w:rsid w:val="00F62826"/>
    <w:rsid w:val="00F63459"/>
    <w:rsid w:val="00F636DB"/>
    <w:rsid w:val="00F6636D"/>
    <w:rsid w:val="00F6718A"/>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basedOn w:val="a"/>
    <w:uiPriority w:val="34"/>
    <w:qFormat/>
    <w:rsid w:val="00AD7B11"/>
    <w:pPr>
      <w:spacing w:after="0"/>
      <w:ind w:left="720"/>
    </w:pPr>
    <w:rPr>
      <w:rFonts w:ascii="Calibri" w:hAnsi="Calibri" w:cs="Calibri"/>
      <w:sz w:val="24"/>
      <w:szCs w:val="24"/>
      <w:lang w:val="en-US" w:eastAsia="zh-CN"/>
    </w:rPr>
  </w:style>
  <w:style w:type="table" w:styleId="af5">
    <w:name w:val="Table Grid"/>
    <w:basedOn w:val="a1"/>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2"/>
    <w:rsid w:val="00832EC2"/>
    <w:rPr>
      <w:b/>
      <w:bCs/>
    </w:rPr>
  </w:style>
  <w:style w:type="character" w:customStyle="1" w:styleId="Char0">
    <w:name w:val="批注文字 Char"/>
    <w:basedOn w:val="a0"/>
    <w:link w:val="af2"/>
    <w:semiHidden/>
    <w:rsid w:val="00832EC2"/>
    <w:rPr>
      <w:lang w:val="en-GB" w:eastAsia="en-US"/>
    </w:rPr>
  </w:style>
  <w:style w:type="character" w:customStyle="1" w:styleId="Char2">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3"/>
    <w:rsid w:val="00D64225"/>
    <w:pPr>
      <w:overflowPunct w:val="0"/>
      <w:autoSpaceDE w:val="0"/>
      <w:autoSpaceDN w:val="0"/>
      <w:adjustRightInd w:val="0"/>
      <w:textAlignment w:val="baseline"/>
    </w:pPr>
    <w:rPr>
      <w:rFonts w:eastAsia="Arial"/>
      <w:bCs/>
      <w:sz w:val="22"/>
    </w:rPr>
  </w:style>
  <w:style w:type="character" w:customStyle="1" w:styleId="Char3">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25C07-870D-42C9-B01A-DE7F8C9EE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4701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Liuliehai</cp:lastModifiedBy>
  <cp:revision>8</cp:revision>
  <dcterms:created xsi:type="dcterms:W3CDTF">2020-04-08T10:34:00Z</dcterms:created>
  <dcterms:modified xsi:type="dcterms:W3CDTF">2020-04-10T16:54:00Z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(3)wGEKfH9RF9vLiVGopHgpzoJyklzo50XkKLI7HBlb+iQoKNXwvpgyAkQc3pzYFKw+osVV5X5j
maIpi6+d0wjUxKr8j+5I3S+KpoCTni6hgOogBpvr7+YrwauWAnfbm5jEfUH0lFr7sw5MvQwQ
YGi+1QHiU4mNCi3Goj/Q0UtVnGJb2gXB+mCy8+6bJlthtfQdOFE5bs5ZX4YVHfsBieVx2aiZ
+zQJgQ9gUi6Bougvhb</vt:lpwstr>
  </property>
  <property fmtid="{D5CDD505-2E9C-101B-9397-08002B2CF9AE}" pid="7" name="_2015_ms_pID_7253431">
    <vt:lpwstr>JFTV5kkF9KVJ00qdASNvJNeQm91ooNkDMUIVbZLao3uE6Hkfk7y65b
Mu0vsM9SDCArRpUwCIStJhvMQd8JoIPHXPIPTt1tRFYt/HMhA/TFo48UyhJK2OHWyGnZ+vQN
TO9uG0t09k87v2CdfdgI9/Jbw12F+2iqXIxwXTTdtNGhZkPXU57zxb+a6AGH0hlN6p37Gzg3
s1lWtT5klEttJWRBX9q0+wXwAqvkXJ1uxf7e</vt:lpwstr>
  </property>
  <property fmtid="{D5CDD505-2E9C-101B-9397-08002B2CF9AE}" pid="8" name="_2015_ms_pID_7253432">
    <vt:lpwstr>Ew==</vt:lpwstr>
  </property>
</Properties>
</file>